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C454" w14:textId="72B01B12" w:rsidR="009C3221" w:rsidRPr="009C3221" w:rsidRDefault="009C3221" w:rsidP="009C3221">
      <w:pPr>
        <w:spacing w:after="0" w:line="240" w:lineRule="auto"/>
        <w:jc w:val="center"/>
        <w:rPr>
          <w:b/>
          <w:bCs/>
          <w:sz w:val="28"/>
          <w:szCs w:val="28"/>
        </w:rPr>
      </w:pPr>
      <w:r w:rsidRPr="009C3221">
        <w:rPr>
          <w:b/>
          <w:bCs/>
          <w:sz w:val="28"/>
          <w:szCs w:val="28"/>
        </w:rPr>
        <w:t xml:space="preserve">Article </w:t>
      </w:r>
      <w:r w:rsidR="006A440D">
        <w:rPr>
          <w:b/>
          <w:bCs/>
          <w:sz w:val="28"/>
          <w:szCs w:val="28"/>
        </w:rPr>
        <w:t xml:space="preserve">sur l’évolution de la fiscalité </w:t>
      </w:r>
      <w:r w:rsidR="006A440D">
        <w:rPr>
          <w:b/>
          <w:bCs/>
          <w:sz w:val="28"/>
          <w:szCs w:val="28"/>
        </w:rPr>
        <w:br/>
        <w:t>pour les habitants de Provence Alpes Agglomération</w:t>
      </w:r>
    </w:p>
    <w:p w14:paraId="0B6DC7CD" w14:textId="77777777" w:rsidR="009C3221" w:rsidRDefault="009C3221" w:rsidP="009C3221">
      <w:pPr>
        <w:spacing w:after="0" w:line="240" w:lineRule="auto"/>
        <w:jc w:val="both"/>
        <w:rPr>
          <w:b/>
          <w:bCs/>
          <w:sz w:val="28"/>
          <w:szCs w:val="28"/>
        </w:rPr>
      </w:pPr>
    </w:p>
    <w:p w14:paraId="69FBFF43" w14:textId="78C919A5" w:rsidR="00213ED1" w:rsidRPr="00091A86" w:rsidRDefault="00D5366A" w:rsidP="00213ED1">
      <w:pPr>
        <w:spacing w:after="0" w:line="240" w:lineRule="auto"/>
        <w:jc w:val="both"/>
        <w:rPr>
          <w:b/>
          <w:bCs/>
          <w:color w:val="FFFFFF" w:themeColor="background1"/>
        </w:rPr>
      </w:pPr>
      <w:r>
        <w:rPr>
          <w:b/>
          <w:bCs/>
          <w:color w:val="FFFFFF" w:themeColor="background1"/>
          <w:highlight w:val="darkBlue"/>
        </w:rPr>
        <w:t xml:space="preserve"> </w:t>
      </w:r>
      <w:r w:rsidR="00213ED1" w:rsidRPr="00091A86">
        <w:rPr>
          <w:b/>
          <w:bCs/>
          <w:color w:val="FFFFFF" w:themeColor="background1"/>
          <w:highlight w:val="darkBlue"/>
        </w:rPr>
        <w:t xml:space="preserve">Version </w:t>
      </w:r>
      <w:r w:rsidR="00213ED1">
        <w:rPr>
          <w:b/>
          <w:bCs/>
          <w:color w:val="FFFFFF" w:themeColor="background1"/>
          <w:highlight w:val="darkBlue"/>
        </w:rPr>
        <w:t>courte</w:t>
      </w:r>
      <w:r w:rsidR="00213ED1" w:rsidRPr="00091A86">
        <w:rPr>
          <w:b/>
          <w:bCs/>
          <w:color w:val="FFFFFF" w:themeColor="background1"/>
          <w:highlight w:val="darkBlue"/>
        </w:rPr>
        <w:t> </w:t>
      </w:r>
      <w:r w:rsidR="00213ED1" w:rsidRPr="00091A86">
        <w:rPr>
          <w:b/>
          <w:bCs/>
          <w:color w:val="FFFFFF" w:themeColor="background1"/>
        </w:rPr>
        <w:t xml:space="preserve"> </w:t>
      </w:r>
    </w:p>
    <w:p w14:paraId="037C8AB4" w14:textId="5823C046" w:rsidR="00213ED1" w:rsidRPr="00A70BB3" w:rsidRDefault="00213ED1" w:rsidP="00213ED1">
      <w:pPr>
        <w:spacing w:after="0" w:line="240" w:lineRule="auto"/>
        <w:jc w:val="both"/>
        <w:rPr>
          <w:b/>
          <w:bCs/>
          <w:sz w:val="28"/>
          <w:szCs w:val="28"/>
        </w:rPr>
      </w:pPr>
      <w:r w:rsidRPr="006E7C3E">
        <w:rPr>
          <w:b/>
          <w:bCs/>
          <w:sz w:val="28"/>
          <w:szCs w:val="28"/>
        </w:rPr>
        <w:t xml:space="preserve">Décryptage de la fiscalité </w:t>
      </w:r>
      <w:r w:rsidR="006C6FB9">
        <w:rPr>
          <w:b/>
          <w:bCs/>
          <w:sz w:val="28"/>
          <w:szCs w:val="28"/>
        </w:rPr>
        <w:t>intercommunale</w:t>
      </w:r>
    </w:p>
    <w:p w14:paraId="3F7AA023" w14:textId="04C68CAA" w:rsidR="00282F2F" w:rsidRDefault="00213ED1" w:rsidP="00213ED1">
      <w:pPr>
        <w:spacing w:after="0" w:line="240" w:lineRule="auto"/>
        <w:jc w:val="both"/>
      </w:pPr>
      <w:r>
        <w:t>E</w:t>
      </w:r>
      <w:r w:rsidRPr="006C7D62">
        <w:t>n 2021</w:t>
      </w:r>
      <w:r>
        <w:t>, l’épargne brute de Provence Alpes agglomération est passée de 3</w:t>
      </w:r>
      <w:r w:rsidR="001A1C81">
        <w:t xml:space="preserve"> </w:t>
      </w:r>
      <w:r>
        <w:t xml:space="preserve">% à 0,5 % </w:t>
      </w:r>
      <w:r w:rsidRPr="006C7D62">
        <w:t xml:space="preserve">sous l’effet ciseaux </w:t>
      </w:r>
      <w:r w:rsidRPr="00A70BB3">
        <w:t>de l’augmentation des charges de fonctionnement (hausse du coût de traitement des déchets, des marchés pour les déchèteries, charges induites par la pandémie…) et de la stagnation des recettes de fonctionnement. Cette situation s’est aggravée en 2022 avec la reprise de l’inflation, la hausse du coût des matières premières, de l’énergie et des carburants et l’augmentation de la charge salariale (néanmoins inférieure à la moyenne des intercommunalités).</w:t>
      </w:r>
      <w:r>
        <w:t xml:space="preserve"> </w:t>
      </w:r>
    </w:p>
    <w:p w14:paraId="02A716DB" w14:textId="79C0F069" w:rsidR="00213ED1" w:rsidRPr="00D5366A" w:rsidRDefault="00213ED1" w:rsidP="00213ED1">
      <w:pPr>
        <w:spacing w:after="0" w:line="240" w:lineRule="auto"/>
        <w:jc w:val="both"/>
      </w:pPr>
      <w:r w:rsidRPr="00A70BB3">
        <w:t xml:space="preserve">Comme de nombreuses autres intercommunalités, l’agglomération </w:t>
      </w:r>
      <w:r>
        <w:t>a ainsi revalorisé</w:t>
      </w:r>
      <w:r w:rsidRPr="00A70BB3">
        <w:t xml:space="preserve"> la fiscalité</w:t>
      </w:r>
      <w:r>
        <w:t> ;</w:t>
      </w:r>
      <w:r w:rsidRPr="00A70BB3">
        <w:t xml:space="preserve"> seul levier permettant d’augmenter les recettes de fonctionnement dans les proportions nécessaires</w:t>
      </w:r>
      <w:r w:rsidR="00C636B5">
        <w:t xml:space="preserve"> pour compenser la hausse des coûts</w:t>
      </w:r>
      <w:r w:rsidRPr="00A70BB3">
        <w:t>.</w:t>
      </w:r>
      <w:r w:rsidRPr="00A70BB3">
        <w:rPr>
          <w:lang w:eastAsia="fr-FR"/>
        </w:rPr>
        <w:t xml:space="preserve"> L’enjeu ? Maintenir un niveau d’investissement important pour </w:t>
      </w:r>
      <w:r>
        <w:rPr>
          <w:lang w:eastAsia="fr-FR"/>
        </w:rPr>
        <w:t xml:space="preserve">continuer à </w:t>
      </w:r>
      <w:r w:rsidRPr="00A70BB3">
        <w:rPr>
          <w:lang w:eastAsia="fr-FR"/>
        </w:rPr>
        <w:t>favoriser l’attractivité du territoire</w:t>
      </w:r>
      <w:r>
        <w:rPr>
          <w:lang w:eastAsia="fr-FR"/>
        </w:rPr>
        <w:t xml:space="preserve"> et</w:t>
      </w:r>
      <w:r w:rsidRPr="00A70BB3">
        <w:rPr>
          <w:lang w:eastAsia="fr-FR"/>
        </w:rPr>
        <w:t xml:space="preserve"> garantir la qualité de service aux usagers tout en permettant la relance de l’économie locale.</w:t>
      </w:r>
      <w:r w:rsidR="00D5366A">
        <w:t xml:space="preserve"> </w:t>
      </w:r>
      <w:r w:rsidRPr="00D5366A">
        <w:rPr>
          <w:b/>
          <w:bCs/>
          <w:lang w:eastAsia="fr-FR"/>
        </w:rPr>
        <w:t xml:space="preserve">Le </w:t>
      </w:r>
      <w:r w:rsidRPr="00D5366A">
        <w:rPr>
          <w:b/>
          <w:bCs/>
        </w:rPr>
        <w:t xml:space="preserve">budget 2022 de PAA </w:t>
      </w:r>
      <w:r w:rsidR="006C6FB9">
        <w:rPr>
          <w:b/>
          <w:bCs/>
        </w:rPr>
        <w:t>a</w:t>
      </w:r>
      <w:r w:rsidR="006C6FB9" w:rsidRPr="006C6FB9">
        <w:rPr>
          <w:b/>
          <w:bCs/>
        </w:rPr>
        <w:t xml:space="preserve"> </w:t>
      </w:r>
      <w:r w:rsidR="006C6FB9" w:rsidRPr="00D5366A">
        <w:rPr>
          <w:b/>
          <w:bCs/>
        </w:rPr>
        <w:t>ainsi</w:t>
      </w:r>
      <w:r w:rsidR="006C6FB9">
        <w:rPr>
          <w:b/>
          <w:bCs/>
        </w:rPr>
        <w:t xml:space="preserve"> intégré</w:t>
      </w:r>
      <w:r w:rsidRPr="00D5366A">
        <w:rPr>
          <w:b/>
          <w:bCs/>
        </w:rPr>
        <w:t xml:space="preserve"> la </w:t>
      </w:r>
      <w:r w:rsidR="00E87CA0">
        <w:rPr>
          <w:b/>
          <w:bCs/>
        </w:rPr>
        <w:t>revalorisation</w:t>
      </w:r>
      <w:r w:rsidRPr="00D5366A">
        <w:rPr>
          <w:b/>
          <w:bCs/>
        </w:rPr>
        <w:t xml:space="preserve"> de trois impôts locaux permettant de dégager 3 M€ de recettes supplémentaires </w:t>
      </w:r>
      <w:r w:rsidRPr="00D5366A">
        <w:t>pour la collectivité :</w:t>
      </w:r>
    </w:p>
    <w:p w14:paraId="17A9B79A" w14:textId="06A18198" w:rsidR="00213ED1" w:rsidRPr="00A70BB3" w:rsidRDefault="00213ED1" w:rsidP="00213ED1">
      <w:pPr>
        <w:spacing w:after="0" w:line="240" w:lineRule="auto"/>
        <w:jc w:val="both"/>
      </w:pPr>
      <w:r w:rsidRPr="00A70BB3">
        <w:t xml:space="preserve">-La </w:t>
      </w:r>
      <w:r w:rsidRPr="00D5366A">
        <w:rPr>
          <w:b/>
          <w:bCs/>
        </w:rPr>
        <w:t>taxe GEMAPI</w:t>
      </w:r>
      <w:r w:rsidRPr="00A70BB3">
        <w:t xml:space="preserve"> dont le produit est passé de 500 000 € à 800 000 € en 2022</w:t>
      </w:r>
      <w:r w:rsidR="00C636B5">
        <w:t xml:space="preserve"> (soit environ 16€/an/habitant)</w:t>
      </w:r>
      <w:r w:rsidRPr="00A70BB3">
        <w:t>.</w:t>
      </w:r>
      <w:r w:rsidR="00C636B5">
        <w:t xml:space="preserve"> </w:t>
      </w:r>
      <w:r w:rsidRPr="00A70BB3">
        <w:t xml:space="preserve">Cette </w:t>
      </w:r>
      <w:r>
        <w:t xml:space="preserve">recette </w:t>
      </w:r>
      <w:r w:rsidRPr="00A70BB3">
        <w:t>permet de compenser une partie des dépenses réalisées pour la Gestion des Milieux Aquatiques et la Prévention des Inondations (GEMAPI), compétence transférée par l’</w:t>
      </w:r>
      <w:r>
        <w:t>É</w:t>
      </w:r>
      <w:r w:rsidRPr="00A70BB3">
        <w:t>tat</w:t>
      </w:r>
      <w:r w:rsidR="006C6FB9">
        <w:t>, sans moyens,</w:t>
      </w:r>
      <w:r w:rsidRPr="00A70BB3">
        <w:t xml:space="preserve"> à la communauté d’agglomération en janvier 2018. </w:t>
      </w:r>
    </w:p>
    <w:p w14:paraId="64F54232" w14:textId="5C280F48" w:rsidR="00213ED1" w:rsidRPr="00A70BB3" w:rsidRDefault="00213ED1" w:rsidP="00213ED1">
      <w:pPr>
        <w:spacing w:after="0" w:line="240" w:lineRule="auto"/>
        <w:jc w:val="both"/>
      </w:pPr>
      <w:r w:rsidRPr="00A70BB3">
        <w:t xml:space="preserve">-La </w:t>
      </w:r>
      <w:r w:rsidRPr="00D5366A">
        <w:rPr>
          <w:b/>
          <w:bCs/>
        </w:rPr>
        <w:t>taxe d'enlèvement des ordures ménagères (TEOM)</w:t>
      </w:r>
      <w:r w:rsidRPr="00A70BB3">
        <w:t xml:space="preserve"> exclusivement dédiée à couvrir les dépenses du service déchets confronté à</w:t>
      </w:r>
      <w:r w:rsidRPr="00A70BB3">
        <w:rPr>
          <w:lang w:eastAsia="fr-FR"/>
        </w:rPr>
        <w:t xml:space="preserve"> l’accroissement des obligations réglementaires et</w:t>
      </w:r>
      <w:r w:rsidR="00C636B5">
        <w:rPr>
          <w:lang w:eastAsia="fr-FR"/>
        </w:rPr>
        <w:t xml:space="preserve"> à</w:t>
      </w:r>
      <w:r w:rsidRPr="00A70BB3">
        <w:rPr>
          <w:lang w:eastAsia="fr-FR"/>
        </w:rPr>
        <w:t xml:space="preserve"> l’augmentation des coûts </w:t>
      </w:r>
      <w:r>
        <w:rPr>
          <w:lang w:eastAsia="fr-FR"/>
        </w:rPr>
        <w:t xml:space="preserve">de traitement des déchets. </w:t>
      </w:r>
      <w:r w:rsidRPr="00A70BB3">
        <w:t>Cette taxe est passée de 12% à 14% en 2022.</w:t>
      </w:r>
    </w:p>
    <w:p w14:paraId="2FFAF71A" w14:textId="54032824" w:rsidR="00213ED1" w:rsidRDefault="00213ED1" w:rsidP="00213ED1">
      <w:pPr>
        <w:spacing w:after="0" w:line="240" w:lineRule="auto"/>
        <w:jc w:val="both"/>
      </w:pPr>
      <w:r w:rsidRPr="00A70BB3">
        <w:t xml:space="preserve">- La </w:t>
      </w:r>
      <w:r w:rsidRPr="00D5366A">
        <w:rPr>
          <w:b/>
          <w:bCs/>
        </w:rPr>
        <w:t>taxe foncière</w:t>
      </w:r>
      <w:r w:rsidRPr="00A70BB3">
        <w:t xml:space="preserve"> qui est passée de 2,68% à 4,68% en 2022 (taux cible). Le processus d’harmonisation de la taxe foncière aboutira en 2029 avec l’application de ce taux unique </w:t>
      </w:r>
      <w:r>
        <w:t>sur tout le</w:t>
      </w:r>
      <w:r w:rsidRPr="00A70BB3">
        <w:t xml:space="preserve"> territoire de l’agglomération</w:t>
      </w:r>
      <w:r>
        <w:t>.</w:t>
      </w:r>
      <w:r w:rsidR="006C6FB9">
        <w:t xml:space="preserve"> Ce mécanisme est géré annuellement par la Direction départementale des finances publiques. </w:t>
      </w:r>
    </w:p>
    <w:p w14:paraId="2966FA45" w14:textId="39CB4BB1" w:rsidR="00213ED1" w:rsidRDefault="00213ED1" w:rsidP="00213ED1">
      <w:pPr>
        <w:spacing w:after="0" w:line="240" w:lineRule="auto"/>
        <w:jc w:val="both"/>
      </w:pPr>
      <w:r>
        <w:rPr>
          <w:noProof/>
        </w:rPr>
        <w:drawing>
          <wp:inline distT="0" distB="0" distL="0" distR="0" wp14:anchorId="47239E3E" wp14:editId="3C7A7B4D">
            <wp:extent cx="5699760" cy="2247900"/>
            <wp:effectExtent l="0" t="0" r="15240" b="0"/>
            <wp:docPr id="3" name="Graphique 3">
              <a:extLst xmlns:a="http://schemas.openxmlformats.org/drawingml/2006/main">
                <a:ext uri="{FF2B5EF4-FFF2-40B4-BE49-F238E27FC236}">
                  <a16:creationId xmlns:a16="http://schemas.microsoft.com/office/drawing/2014/main" id="{8855F9A2-C6D2-C1C0-A6DC-ED28A9C7B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25EED7E" w14:textId="77777777" w:rsidR="00213ED1" w:rsidRDefault="00213ED1" w:rsidP="00213ED1">
      <w:pPr>
        <w:spacing w:after="0" w:line="240" w:lineRule="auto"/>
        <w:jc w:val="both"/>
      </w:pPr>
    </w:p>
    <w:p w14:paraId="0D96AB90" w14:textId="6B5845E9" w:rsidR="009C3221" w:rsidRPr="00091A86" w:rsidRDefault="00D5366A" w:rsidP="00213ED1">
      <w:pPr>
        <w:spacing w:after="0" w:line="240" w:lineRule="auto"/>
        <w:jc w:val="both"/>
        <w:rPr>
          <w:b/>
          <w:bCs/>
          <w:color w:val="FFFFFF" w:themeColor="background1"/>
        </w:rPr>
      </w:pPr>
      <w:r>
        <w:rPr>
          <w:b/>
          <w:bCs/>
          <w:color w:val="FFFFFF" w:themeColor="background1"/>
          <w:highlight w:val="darkBlue"/>
        </w:rPr>
        <w:t xml:space="preserve"> </w:t>
      </w:r>
      <w:r w:rsidR="009C3221" w:rsidRPr="00091A86">
        <w:rPr>
          <w:b/>
          <w:bCs/>
          <w:color w:val="FFFFFF" w:themeColor="background1"/>
          <w:highlight w:val="darkBlue"/>
        </w:rPr>
        <w:t>Version longue </w:t>
      </w:r>
    </w:p>
    <w:p w14:paraId="68406D9B" w14:textId="1CA0D348" w:rsidR="009C3221" w:rsidRPr="006E7C3E" w:rsidRDefault="009C3221" w:rsidP="009C3221">
      <w:pPr>
        <w:spacing w:after="0" w:line="240" w:lineRule="auto"/>
        <w:jc w:val="both"/>
        <w:rPr>
          <w:b/>
          <w:bCs/>
          <w:sz w:val="28"/>
          <w:szCs w:val="28"/>
        </w:rPr>
      </w:pPr>
      <w:r w:rsidRPr="006E7C3E">
        <w:rPr>
          <w:b/>
          <w:bCs/>
          <w:sz w:val="28"/>
          <w:szCs w:val="28"/>
        </w:rPr>
        <w:t xml:space="preserve">Décryptage de la fiscalité </w:t>
      </w:r>
      <w:r w:rsidR="006C6FB9">
        <w:rPr>
          <w:b/>
          <w:bCs/>
          <w:sz w:val="28"/>
          <w:szCs w:val="28"/>
        </w:rPr>
        <w:t>intercommunale</w:t>
      </w:r>
    </w:p>
    <w:p w14:paraId="0AB9B94A" w14:textId="77777777" w:rsidR="009C3221" w:rsidRPr="00091A86" w:rsidRDefault="009C3221" w:rsidP="009C3221">
      <w:pPr>
        <w:spacing w:after="0" w:line="240" w:lineRule="auto"/>
        <w:jc w:val="both"/>
        <w:rPr>
          <w:b/>
          <w:bCs/>
          <w:sz w:val="24"/>
          <w:szCs w:val="24"/>
        </w:rPr>
      </w:pPr>
      <w:r w:rsidRPr="00091A86">
        <w:rPr>
          <w:b/>
          <w:bCs/>
          <w:sz w:val="24"/>
          <w:szCs w:val="24"/>
        </w:rPr>
        <w:t>Taxe foncière, taxe d’enlèvement des ordures ménagères… Quels impôts locaux ont augmenté en 2022, dans quelle proportion et pourquoi ? Cet article vous permettra de tout savoir sur le fonctionnement des différents impôts appliqués à l’échelle du territoire de Provence Alpes Agglomération et de mieux comprendre le contexte qui influence leur évolution.</w:t>
      </w:r>
    </w:p>
    <w:p w14:paraId="12060787" w14:textId="5F596995" w:rsidR="009C3221" w:rsidRPr="006C7D62" w:rsidRDefault="009C3221" w:rsidP="009C3221">
      <w:pPr>
        <w:spacing w:after="0" w:line="240" w:lineRule="auto"/>
        <w:jc w:val="both"/>
      </w:pPr>
      <w:r w:rsidRPr="006C7D62">
        <w:lastRenderedPageBreak/>
        <w:t>D</w:t>
      </w:r>
      <w:r>
        <w:t>epuis sa création en 2017</w:t>
      </w:r>
      <w:r w:rsidRPr="006C7D62">
        <w:t xml:space="preserve">, Provence Alpes Agglomération </w:t>
      </w:r>
      <w:r>
        <w:t>dégage</w:t>
      </w:r>
      <w:r w:rsidRPr="006C7D62">
        <w:t xml:space="preserve"> une </w:t>
      </w:r>
      <w:r w:rsidRPr="006C7D62">
        <w:rPr>
          <w:b/>
          <w:bCs/>
        </w:rPr>
        <w:t>épargne brute faible</w:t>
      </w:r>
      <w:r w:rsidRPr="006C7D62">
        <w:t xml:space="preserve">, limitant sa capacité à investir. </w:t>
      </w:r>
      <w:r>
        <w:t xml:space="preserve">Une </w:t>
      </w:r>
      <w:r w:rsidRPr="006C7D62">
        <w:t xml:space="preserve">situation structurelle </w:t>
      </w:r>
      <w:r>
        <w:t xml:space="preserve">qui était </w:t>
      </w:r>
      <w:r w:rsidRPr="006C7D62">
        <w:t>déjà présente avant la fusion des 5 communautés de communes. Si l’agglomération est parvenue à augmenter son épargne brute d’environ 500 000 euros entre 2017 et 2020, celle-ci s’est à nouveau réduite en 2021 sous l’effet ciseaux de l’</w:t>
      </w:r>
      <w:r w:rsidRPr="006C7D62">
        <w:rPr>
          <w:b/>
          <w:bCs/>
        </w:rPr>
        <w:t xml:space="preserve">augmentation des charges de fonctionnement </w:t>
      </w:r>
      <w:r w:rsidRPr="006C7D62">
        <w:t xml:space="preserve">(hausse </w:t>
      </w:r>
      <w:r>
        <w:t>du coût de traitement des déchets</w:t>
      </w:r>
      <w:r w:rsidRPr="006C7D62">
        <w:t>, des marchés pour les déchèteries, charges induites par la pandémie…) et de la</w:t>
      </w:r>
      <w:r w:rsidRPr="006C7D62">
        <w:rPr>
          <w:b/>
          <w:bCs/>
        </w:rPr>
        <w:t xml:space="preserve"> stagnation des recettes de fonctionnement</w:t>
      </w:r>
      <w:r w:rsidRPr="006C7D62">
        <w:t xml:space="preserve">. Elle est ainsi passée de 3 % à </w:t>
      </w:r>
      <w:r w:rsidRPr="006C7D62">
        <w:rPr>
          <w:b/>
          <w:bCs/>
        </w:rPr>
        <w:t>0,5 % au 31 décembre 2021</w:t>
      </w:r>
      <w:r w:rsidRPr="006C7D62">
        <w:t xml:space="preserve">. </w:t>
      </w:r>
    </w:p>
    <w:p w14:paraId="630F01F1" w14:textId="1229AAC6" w:rsidR="009C3221" w:rsidRDefault="009C3221" w:rsidP="009C3221">
      <w:pPr>
        <w:jc w:val="both"/>
      </w:pPr>
      <w:r w:rsidRPr="006C7D62">
        <w:t xml:space="preserve">En 2022, cette situation </w:t>
      </w:r>
      <w:r>
        <w:t>s’est aggravée</w:t>
      </w:r>
      <w:r w:rsidRPr="006C7D62">
        <w:t xml:space="preserve"> </w:t>
      </w:r>
      <w:r>
        <w:t>avec</w:t>
      </w:r>
      <w:r w:rsidRPr="006C7D62">
        <w:t xml:space="preserve"> la reprise de </w:t>
      </w:r>
      <w:r w:rsidRPr="006C7D62">
        <w:rPr>
          <w:b/>
          <w:bCs/>
        </w:rPr>
        <w:t>l’inflation</w:t>
      </w:r>
      <w:r w:rsidRPr="006C7D62">
        <w:t xml:space="preserve">, la hausse du coût des matières premières, de l’énergie et des carburants et l’augmentation de la charge salariale </w:t>
      </w:r>
      <w:r>
        <w:t>liée notamment au dispositif GVT (glissement vieillesse technicité) et à la revalorisation des salaires des agents de catégorie C. « </w:t>
      </w:r>
      <w:r>
        <w:rPr>
          <w:i/>
          <w:iCs/>
        </w:rPr>
        <w:t xml:space="preserve">Des </w:t>
      </w:r>
      <w:r w:rsidRPr="0063461E">
        <w:rPr>
          <w:i/>
          <w:iCs/>
        </w:rPr>
        <w:t xml:space="preserve">recherches d’économies ont été </w:t>
      </w:r>
      <w:r>
        <w:rPr>
          <w:i/>
          <w:iCs/>
        </w:rPr>
        <w:t>menées</w:t>
      </w:r>
      <w:r w:rsidRPr="0063461E">
        <w:rPr>
          <w:i/>
          <w:iCs/>
        </w:rPr>
        <w:t xml:space="preserve"> </w:t>
      </w:r>
      <w:r>
        <w:rPr>
          <w:i/>
          <w:iCs/>
        </w:rPr>
        <w:t xml:space="preserve">mais </w:t>
      </w:r>
      <w:r w:rsidRPr="0063461E">
        <w:rPr>
          <w:i/>
          <w:iCs/>
        </w:rPr>
        <w:t>leurs résultats n</w:t>
      </w:r>
      <w:r>
        <w:rPr>
          <w:i/>
          <w:iCs/>
        </w:rPr>
        <w:t xml:space="preserve">’étaient </w:t>
      </w:r>
      <w:r w:rsidRPr="0063461E">
        <w:rPr>
          <w:i/>
          <w:iCs/>
        </w:rPr>
        <w:t>pas suffisants compte tenu du niveau des dépenses incompressibles, de l’augmentation des contraintes réglementaires et des moyens en personnel déjà insuffisants au regard d’autres collectivités comparables (</w:t>
      </w:r>
      <w:r>
        <w:rPr>
          <w:i/>
          <w:iCs/>
        </w:rPr>
        <w:t>30 % des charges de fonctionnement</w:t>
      </w:r>
      <w:r w:rsidRPr="0063461E">
        <w:rPr>
          <w:i/>
          <w:iCs/>
        </w:rPr>
        <w:t>)</w:t>
      </w:r>
      <w:r>
        <w:rPr>
          <w:i/>
          <w:iCs/>
        </w:rPr>
        <w:t xml:space="preserve"> », </w:t>
      </w:r>
      <w:r>
        <w:t>indique</w:t>
      </w:r>
      <w:r>
        <w:rPr>
          <w:i/>
          <w:iCs/>
        </w:rPr>
        <w:t xml:space="preserve"> </w:t>
      </w:r>
      <w:r>
        <w:t>Marc Bondil, vice-président de PAA délégué aux finances.</w:t>
      </w:r>
      <w:r w:rsidR="00C04805" w:rsidRPr="00C04805">
        <w:t xml:space="preserve"> </w:t>
      </w:r>
      <w:r w:rsidR="00C04805">
        <w:t xml:space="preserve"> </w:t>
      </w:r>
    </w:p>
    <w:p w14:paraId="2FB00E31" w14:textId="07F23AC3" w:rsidR="009C3221" w:rsidRDefault="009C3221" w:rsidP="009C3221">
      <w:pPr>
        <w:jc w:val="both"/>
      </w:pPr>
      <w:r>
        <w:t xml:space="preserve">Comme de nombreuses autres intercommunalités, l’agglomération s’est ainsi résolue à </w:t>
      </w:r>
      <w:r w:rsidRPr="006C7D62">
        <w:rPr>
          <w:b/>
          <w:bCs/>
        </w:rPr>
        <w:t>revaloriser la fiscalité</w:t>
      </w:r>
      <w:r w:rsidR="00C04805">
        <w:t>.  « </w:t>
      </w:r>
      <w:r w:rsidR="00C04805" w:rsidRPr="00783D6B">
        <w:rPr>
          <w:i/>
          <w:iCs/>
        </w:rPr>
        <w:t>Les recettes fiscales représentent 68% des recettes de fonctionnement. Il s’agit du</w:t>
      </w:r>
      <w:r w:rsidRPr="00783D6B">
        <w:rPr>
          <w:i/>
          <w:iCs/>
        </w:rPr>
        <w:t xml:space="preserve"> seul levier permettant d’augmenter </w:t>
      </w:r>
      <w:r w:rsidR="00783D6B" w:rsidRPr="00783D6B">
        <w:rPr>
          <w:i/>
          <w:iCs/>
        </w:rPr>
        <w:t>ces recettes</w:t>
      </w:r>
      <w:r w:rsidRPr="00783D6B">
        <w:rPr>
          <w:i/>
          <w:iCs/>
        </w:rPr>
        <w:t xml:space="preserve"> dans les proportions nécessaires</w:t>
      </w:r>
      <w:r w:rsidR="00C04805" w:rsidRPr="00783D6B">
        <w:rPr>
          <w:i/>
          <w:iCs/>
        </w:rPr>
        <w:t xml:space="preserve"> pour compenser l’augmentation des coûts</w:t>
      </w:r>
      <w:r w:rsidR="00C04805">
        <w:t> »</w:t>
      </w:r>
      <w:r w:rsidR="00783D6B">
        <w:t>, précise Marc Bondil.</w:t>
      </w:r>
      <w:r w:rsidRPr="00F933D7">
        <w:rPr>
          <w:lang w:eastAsia="fr-FR"/>
        </w:rPr>
        <w:t xml:space="preserve"> </w:t>
      </w:r>
      <w:r>
        <w:rPr>
          <w:lang w:eastAsia="fr-FR"/>
        </w:rPr>
        <w:t xml:space="preserve">L’enjeu ? </w:t>
      </w:r>
      <w:r w:rsidRPr="006C7D62">
        <w:rPr>
          <w:b/>
          <w:bCs/>
          <w:lang w:eastAsia="fr-FR"/>
        </w:rPr>
        <w:t>Maintenir un niveau d’investissement important pour garantir la qualité de service aux usagers, permettre la relance de l’économie locale et continuer à mener des projets structurants contribuant à l’attractivité du territoire</w:t>
      </w:r>
      <w:r w:rsidRPr="004D18C4">
        <w:rPr>
          <w:lang w:eastAsia="fr-FR"/>
        </w:rPr>
        <w:t xml:space="preserve"> </w:t>
      </w:r>
      <w:r w:rsidRPr="004D18C4">
        <w:t>(rénovation de la</w:t>
      </w:r>
      <w:r>
        <w:rPr>
          <w:b/>
          <w:bCs/>
        </w:rPr>
        <w:t xml:space="preserve"> </w:t>
      </w:r>
      <w:r>
        <w:rPr>
          <w:lang w:eastAsia="fr-FR"/>
        </w:rPr>
        <w:t>crèche de Moustiers, des piscines thermales, création d’une déchèterie dans la Vallée de l’Asse…).</w:t>
      </w:r>
    </w:p>
    <w:p w14:paraId="101D3E80" w14:textId="04B0B217" w:rsidR="009C3221" w:rsidRPr="003E6724" w:rsidRDefault="009C3221" w:rsidP="009C3221">
      <w:pPr>
        <w:spacing w:after="0" w:line="240" w:lineRule="auto"/>
        <w:jc w:val="both"/>
        <w:rPr>
          <w:b/>
          <w:bCs/>
          <w:lang w:eastAsia="fr-FR"/>
        </w:rPr>
      </w:pPr>
      <w:r>
        <w:rPr>
          <w:lang w:eastAsia="fr-FR"/>
        </w:rPr>
        <w:t xml:space="preserve">Adopté lors du conseil d’agglomération du 7 avril 2022, le </w:t>
      </w:r>
      <w:r>
        <w:t xml:space="preserve">budget 2022 de PAA </w:t>
      </w:r>
      <w:r w:rsidR="00E87CA0">
        <w:t>a</w:t>
      </w:r>
      <w:r>
        <w:t xml:space="preserve"> ainsi </w:t>
      </w:r>
      <w:r w:rsidR="00E87CA0">
        <w:t xml:space="preserve">intégré </w:t>
      </w:r>
      <w:r>
        <w:t xml:space="preserve">la </w:t>
      </w:r>
      <w:r w:rsidR="00E87CA0">
        <w:t>revalorisation</w:t>
      </w:r>
      <w:r>
        <w:t xml:space="preserve"> de trois impôts locaux</w:t>
      </w:r>
      <w:r w:rsidR="00C04805">
        <w:t xml:space="preserve"> </w:t>
      </w:r>
      <w:r>
        <w:rPr>
          <w:b/>
          <w:bCs/>
        </w:rPr>
        <w:t>:</w:t>
      </w:r>
    </w:p>
    <w:p w14:paraId="4CF38007" w14:textId="72C4FDB7" w:rsidR="009C3221" w:rsidRDefault="009C3221" w:rsidP="009C3221">
      <w:pPr>
        <w:spacing w:after="0" w:line="240" w:lineRule="auto"/>
        <w:jc w:val="both"/>
        <w:rPr>
          <w:b/>
        </w:rPr>
      </w:pPr>
      <w:r w:rsidRPr="00C95BC6">
        <w:rPr>
          <w:bCs/>
        </w:rPr>
        <w:t>-</w:t>
      </w:r>
      <w:r>
        <w:rPr>
          <w:bCs/>
        </w:rPr>
        <w:t>La</w:t>
      </w:r>
      <w:r w:rsidRPr="00C95BC6">
        <w:rPr>
          <w:bCs/>
        </w:rPr>
        <w:t xml:space="preserve"> </w:t>
      </w:r>
      <w:r w:rsidRPr="00C95BC6">
        <w:rPr>
          <w:b/>
        </w:rPr>
        <w:t>taxe GEMAPI</w:t>
      </w:r>
      <w:r>
        <w:rPr>
          <w:b/>
        </w:rPr>
        <w:t xml:space="preserve"> dont le produit est passé </w:t>
      </w:r>
      <w:r w:rsidRPr="00C95BC6">
        <w:rPr>
          <w:bCs/>
        </w:rPr>
        <w:t>de 500 000 € à 800 000 € en 2022</w:t>
      </w:r>
      <w:r w:rsidR="00D5366A">
        <w:rPr>
          <w:bCs/>
        </w:rPr>
        <w:t>, soit environ 16€/an/habitant</w:t>
      </w:r>
      <w:r w:rsidRPr="00C95BC6">
        <w:rPr>
          <w:bCs/>
        </w:rPr>
        <w:t xml:space="preserve"> (le taux plafond étant de 40€/an/habitant).</w:t>
      </w:r>
    </w:p>
    <w:p w14:paraId="348369FB" w14:textId="671BC5F7" w:rsidR="009C3221" w:rsidRDefault="009C3221" w:rsidP="009C3221">
      <w:pPr>
        <w:spacing w:after="0" w:line="240" w:lineRule="auto"/>
        <w:jc w:val="both"/>
      </w:pPr>
      <w:r w:rsidRPr="006C7D62">
        <w:rPr>
          <w:bCs/>
        </w:rPr>
        <w:t>Cette taxe permet</w:t>
      </w:r>
      <w:r w:rsidRPr="00C95BC6">
        <w:rPr>
          <w:bCs/>
        </w:rPr>
        <w:t xml:space="preserve"> de compenser une partie des dépenses réalisées pour la Gestion des Milieux Aquatiques et la Prévention des Inondations (GEMAPI), compétence transférée</w:t>
      </w:r>
      <w:r w:rsidR="006C6FB9">
        <w:rPr>
          <w:bCs/>
        </w:rPr>
        <w:t xml:space="preserve"> sans moyens</w:t>
      </w:r>
      <w:r w:rsidRPr="00C95BC6">
        <w:rPr>
          <w:bCs/>
        </w:rPr>
        <w:t xml:space="preserve"> par</w:t>
      </w:r>
      <w:r>
        <w:t xml:space="preserve"> l’</w:t>
      </w:r>
      <w:r w:rsidR="00D5366A">
        <w:t>É</w:t>
      </w:r>
      <w:r>
        <w:t>tat à la communauté d’agglomération en janvier 2018. À ce jour, l’entretien des berges et des lits des cours d’eau et le renforcement des digues permettant de protéger la population entra</w:t>
      </w:r>
      <w:r w:rsidR="00213ED1">
        <w:t>î</w:t>
      </w:r>
      <w:r>
        <w:t xml:space="preserve">nent 1M€ de dépenses par an pour la collectivité. </w:t>
      </w:r>
    </w:p>
    <w:p w14:paraId="30858911" w14:textId="77777777" w:rsidR="009C3221" w:rsidRDefault="009C3221" w:rsidP="009C3221">
      <w:pPr>
        <w:spacing w:after="0" w:line="240" w:lineRule="auto"/>
        <w:jc w:val="both"/>
      </w:pPr>
      <w:r w:rsidRPr="000F2A6C">
        <w:t xml:space="preserve">-La </w:t>
      </w:r>
      <w:r w:rsidRPr="000F2A6C">
        <w:rPr>
          <w:b/>
          <w:bCs/>
        </w:rPr>
        <w:t>taxe d'enlèvement des ordures ménagères</w:t>
      </w:r>
      <w:r w:rsidRPr="000F2A6C">
        <w:t xml:space="preserve"> (TEOM)</w:t>
      </w:r>
      <w:r>
        <w:t xml:space="preserve"> qui est passée </w:t>
      </w:r>
      <w:r w:rsidRPr="000F2A6C">
        <w:t>de 12% à 14% en 2022</w:t>
      </w:r>
      <w:r>
        <w:t>.</w:t>
      </w:r>
    </w:p>
    <w:p w14:paraId="1DCFD540" w14:textId="1E2B2435" w:rsidR="009C3221" w:rsidRPr="009C3221" w:rsidRDefault="009C3221" w:rsidP="009C3221">
      <w:pPr>
        <w:spacing w:after="0" w:line="240" w:lineRule="auto"/>
        <w:jc w:val="both"/>
      </w:pPr>
      <w:r>
        <w:t xml:space="preserve">Cette taxe </w:t>
      </w:r>
      <w:r w:rsidRPr="000F2A6C">
        <w:t>est exclusivement dédiée à couvrir les dépenses du service déchets confronté à</w:t>
      </w:r>
      <w:r w:rsidRPr="000F2A6C">
        <w:rPr>
          <w:lang w:eastAsia="fr-FR"/>
        </w:rPr>
        <w:t xml:space="preserve"> l’accroissement des obligations réglementaires et</w:t>
      </w:r>
      <w:r>
        <w:rPr>
          <w:lang w:eastAsia="fr-FR"/>
        </w:rPr>
        <w:t xml:space="preserve"> à</w:t>
      </w:r>
      <w:r w:rsidRPr="000F2A6C">
        <w:rPr>
          <w:lang w:eastAsia="fr-FR"/>
        </w:rPr>
        <w:t xml:space="preserve"> l’augmentation des coûts (réduction des autorisations d’enfouissements, </w:t>
      </w:r>
      <w:r w:rsidR="00372605">
        <w:rPr>
          <w:lang w:eastAsia="fr-FR"/>
        </w:rPr>
        <w:t xml:space="preserve">d’ici 2025 </w:t>
      </w:r>
      <w:r w:rsidRPr="000F2A6C">
        <w:rPr>
          <w:lang w:eastAsia="fr-FR"/>
        </w:rPr>
        <w:t xml:space="preserve">augmentation de 160 % de la taxe générale sur les activités polluantes </w:t>
      </w:r>
      <w:r>
        <w:rPr>
          <w:lang w:eastAsia="fr-FR"/>
        </w:rPr>
        <w:t>imposée</w:t>
      </w:r>
      <w:r w:rsidRPr="000F2A6C">
        <w:rPr>
          <w:lang w:eastAsia="fr-FR"/>
        </w:rPr>
        <w:t xml:space="preserve"> par l’</w:t>
      </w:r>
      <w:r>
        <w:rPr>
          <w:lang w:eastAsia="fr-FR"/>
        </w:rPr>
        <w:t>É</w:t>
      </w:r>
      <w:r w:rsidRPr="000F2A6C">
        <w:rPr>
          <w:lang w:eastAsia="fr-FR"/>
        </w:rPr>
        <w:t xml:space="preserve">tat </w:t>
      </w:r>
      <w:r w:rsidR="00372605">
        <w:rPr>
          <w:lang w:eastAsia="fr-FR"/>
        </w:rPr>
        <w:t>pour</w:t>
      </w:r>
      <w:r w:rsidRPr="000F2A6C">
        <w:rPr>
          <w:lang w:eastAsia="fr-FR"/>
        </w:rPr>
        <w:t xml:space="preserve"> chaque tonne de déchets enfouie</w:t>
      </w:r>
      <w:r>
        <w:rPr>
          <w:lang w:eastAsia="fr-FR"/>
        </w:rPr>
        <w:t>…</w:t>
      </w:r>
      <w:r w:rsidRPr="000F2A6C">
        <w:rPr>
          <w:lang w:eastAsia="fr-FR"/>
        </w:rPr>
        <w:t xml:space="preserve">). </w:t>
      </w:r>
    </w:p>
    <w:p w14:paraId="4934B46B" w14:textId="77777777" w:rsidR="009C3221" w:rsidRDefault="009C3221" w:rsidP="009C3221">
      <w:pPr>
        <w:spacing w:after="0" w:line="240" w:lineRule="auto"/>
        <w:jc w:val="both"/>
        <w:rPr>
          <w:b/>
        </w:rPr>
      </w:pPr>
      <w:r w:rsidRPr="006C7D62">
        <w:rPr>
          <w:b/>
        </w:rPr>
        <w:t xml:space="preserve">- La </w:t>
      </w:r>
      <w:r>
        <w:rPr>
          <w:b/>
        </w:rPr>
        <w:t>t</w:t>
      </w:r>
      <w:r w:rsidRPr="006C7D62">
        <w:rPr>
          <w:b/>
        </w:rPr>
        <w:t xml:space="preserve">axe </w:t>
      </w:r>
      <w:r>
        <w:rPr>
          <w:b/>
        </w:rPr>
        <w:t>f</w:t>
      </w:r>
      <w:r w:rsidRPr="006C7D62">
        <w:rPr>
          <w:b/>
        </w:rPr>
        <w:t>oncière</w:t>
      </w:r>
      <w:r>
        <w:rPr>
          <w:b/>
        </w:rPr>
        <w:t xml:space="preserve"> </w:t>
      </w:r>
      <w:r w:rsidRPr="00D82228">
        <w:rPr>
          <w:bCs/>
        </w:rPr>
        <w:t>dont le taux est passé</w:t>
      </w:r>
      <w:r w:rsidRPr="003E595E">
        <w:rPr>
          <w:bCs/>
        </w:rPr>
        <w:t xml:space="preserve"> de 2,68% à 4,68% en 2022</w:t>
      </w:r>
      <w:r>
        <w:rPr>
          <w:bCs/>
        </w:rPr>
        <w:t>.</w:t>
      </w:r>
    </w:p>
    <w:p w14:paraId="05FA413F" w14:textId="36537648" w:rsidR="009C3221" w:rsidRDefault="009C3221" w:rsidP="009C3221">
      <w:pPr>
        <w:spacing w:after="0" w:line="240" w:lineRule="auto"/>
        <w:jc w:val="both"/>
      </w:pPr>
      <w:r>
        <w:t xml:space="preserve">Initié en 2017, le processus d’harmonisation de la taxe foncière aboutira en 2029 avec l’application de ce taux unique </w:t>
      </w:r>
      <w:r w:rsidR="00213ED1">
        <w:t>sur tout le</w:t>
      </w:r>
      <w:r>
        <w:t xml:space="preserve"> territoire de l’agglomération. Il entraîne chaque année une évolution du taux sur les anciens territoires. </w:t>
      </w:r>
      <w:r w:rsidR="006C6FB9">
        <w:t xml:space="preserve">Ce mécanisme est géré annuellement par la Direction départementale des finances publiques. </w:t>
      </w:r>
    </w:p>
    <w:p w14:paraId="26B944F0" w14:textId="7FFEA65F" w:rsidR="00C04805" w:rsidRDefault="00C04805" w:rsidP="009C3221">
      <w:pPr>
        <w:spacing w:after="0" w:line="240" w:lineRule="auto"/>
        <w:jc w:val="both"/>
      </w:pPr>
      <w:r>
        <w:t>Au total, ces</w:t>
      </w:r>
      <w:r w:rsidR="00783D6B">
        <w:t xml:space="preserve"> différentes</w:t>
      </w:r>
      <w:r>
        <w:t xml:space="preserve"> révisions permettent à la collectivité de dégager </w:t>
      </w:r>
      <w:r w:rsidRPr="003E6724">
        <w:rPr>
          <w:b/>
          <w:bCs/>
        </w:rPr>
        <w:t xml:space="preserve">3 </w:t>
      </w:r>
      <w:r>
        <w:rPr>
          <w:b/>
          <w:bCs/>
        </w:rPr>
        <w:t>M€</w:t>
      </w:r>
      <w:r w:rsidRPr="003E6724">
        <w:rPr>
          <w:b/>
          <w:bCs/>
        </w:rPr>
        <w:t xml:space="preserve"> de recettes supplémentaires</w:t>
      </w:r>
      <w:r>
        <w:rPr>
          <w:b/>
          <w:bCs/>
        </w:rPr>
        <w:t>.</w:t>
      </w:r>
    </w:p>
    <w:p w14:paraId="6AD7C88C" w14:textId="77777777" w:rsidR="00372605" w:rsidRDefault="00372605" w:rsidP="009C3221">
      <w:pPr>
        <w:spacing w:after="0" w:line="240" w:lineRule="auto"/>
        <w:jc w:val="both"/>
      </w:pPr>
    </w:p>
    <w:p w14:paraId="6CA5AF3A" w14:textId="37721A11" w:rsidR="009C3221" w:rsidRDefault="009C3221" w:rsidP="009C3221">
      <w:pPr>
        <w:jc w:val="both"/>
      </w:pPr>
    </w:p>
    <w:p w14:paraId="4B1E7048" w14:textId="7941AB88" w:rsidR="009B1C70" w:rsidRDefault="009C3221" w:rsidP="009C3221">
      <w:pPr>
        <w:spacing w:after="0" w:line="240" w:lineRule="auto"/>
      </w:pPr>
      <w:r>
        <w:rPr>
          <w:noProof/>
        </w:rPr>
        <w:lastRenderedPageBreak/>
        <w:drawing>
          <wp:inline distT="0" distB="0" distL="0" distR="0" wp14:anchorId="445DE330" wp14:editId="3D976AEB">
            <wp:extent cx="5760720" cy="2394161"/>
            <wp:effectExtent l="0" t="0" r="11430" b="6350"/>
            <wp:docPr id="2" name="Graphique 2">
              <a:extLst xmlns:a="http://schemas.openxmlformats.org/drawingml/2006/main">
                <a:ext uri="{FF2B5EF4-FFF2-40B4-BE49-F238E27FC236}">
                  <a16:creationId xmlns:a16="http://schemas.microsoft.com/office/drawing/2014/main" id="{8855F9A2-C6D2-C1C0-A6DC-ED28A9C7B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9B1C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953B" w14:textId="77777777" w:rsidR="006A440D" w:rsidRDefault="006A440D" w:rsidP="006A440D">
      <w:pPr>
        <w:spacing w:after="0" w:line="240" w:lineRule="auto"/>
      </w:pPr>
      <w:r>
        <w:separator/>
      </w:r>
    </w:p>
  </w:endnote>
  <w:endnote w:type="continuationSeparator" w:id="0">
    <w:p w14:paraId="53888AE3" w14:textId="77777777" w:rsidR="006A440D" w:rsidRDefault="006A440D" w:rsidP="006A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A7ED" w14:textId="77777777" w:rsidR="006A440D" w:rsidRDefault="006A440D" w:rsidP="006A440D">
      <w:pPr>
        <w:spacing w:after="0" w:line="240" w:lineRule="auto"/>
      </w:pPr>
      <w:r>
        <w:separator/>
      </w:r>
    </w:p>
  </w:footnote>
  <w:footnote w:type="continuationSeparator" w:id="0">
    <w:p w14:paraId="53511B46" w14:textId="77777777" w:rsidR="006A440D" w:rsidRDefault="006A440D" w:rsidP="006A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B128" w14:textId="2BD8B151" w:rsidR="006A440D" w:rsidRDefault="006A440D">
    <w:pPr>
      <w:pStyle w:val="En-tte"/>
    </w:pPr>
    <w:r>
      <w:rPr>
        <w:noProof/>
      </w:rPr>
      <w:drawing>
        <wp:anchor distT="0" distB="0" distL="114300" distR="114300" simplePos="0" relativeHeight="251659264" behindDoc="0" locked="0" layoutInCell="1" allowOverlap="1" wp14:anchorId="331738F5" wp14:editId="48F8ACE2">
          <wp:simplePos x="0" y="0"/>
          <wp:positionH relativeFrom="margin">
            <wp:posOffset>4657725</wp:posOffset>
          </wp:positionH>
          <wp:positionV relativeFrom="paragraph">
            <wp:posOffset>-153035</wp:posOffset>
          </wp:positionV>
          <wp:extent cx="1190625" cy="598805"/>
          <wp:effectExtent l="0" t="0" r="0" b="0"/>
          <wp:wrapSquare wrapText="bothSides"/>
          <wp:docPr id="1"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90625" cy="5988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21"/>
    <w:rsid w:val="001A1C81"/>
    <w:rsid w:val="00213ED1"/>
    <w:rsid w:val="00282F2F"/>
    <w:rsid w:val="00372605"/>
    <w:rsid w:val="006A440D"/>
    <w:rsid w:val="006C6FB9"/>
    <w:rsid w:val="00783D6B"/>
    <w:rsid w:val="009B1C70"/>
    <w:rsid w:val="009C3221"/>
    <w:rsid w:val="00C04805"/>
    <w:rsid w:val="00C636B5"/>
    <w:rsid w:val="00D5366A"/>
    <w:rsid w:val="00E87CA0"/>
    <w:rsid w:val="00F71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B828"/>
  <w15:chartTrackingRefBased/>
  <w15:docId w15:val="{366599DB-77C4-4A58-9C57-E6ABFF36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440D"/>
    <w:pPr>
      <w:tabs>
        <w:tab w:val="center" w:pos="4536"/>
        <w:tab w:val="right" w:pos="9072"/>
      </w:tabs>
      <w:spacing w:after="0" w:line="240" w:lineRule="auto"/>
    </w:pPr>
  </w:style>
  <w:style w:type="character" w:customStyle="1" w:styleId="En-tteCar">
    <w:name w:val="En-tête Car"/>
    <w:basedOn w:val="Policepardfaut"/>
    <w:link w:val="En-tte"/>
    <w:uiPriority w:val="99"/>
    <w:rsid w:val="006A440D"/>
  </w:style>
  <w:style w:type="paragraph" w:styleId="Pieddepage">
    <w:name w:val="footer"/>
    <w:basedOn w:val="Normal"/>
    <w:link w:val="PieddepageCar"/>
    <w:uiPriority w:val="99"/>
    <w:unhideWhenUsed/>
    <w:rsid w:val="006A44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Evolution</a:t>
            </a:r>
            <a:r>
              <a:rPr lang="fr-FR" baseline="0"/>
              <a:t> de la Taxe foncière / PAA</a:t>
            </a:r>
            <a:endParaRPr lang="fr-FR"/>
          </a:p>
        </c:rich>
      </c:tx>
      <c:layout>
        <c:manualLayout>
          <c:xMode val="edge"/>
          <c:yMode val="edge"/>
          <c:x val="0.41432703077720384"/>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Feuil1!$A$3</c:f>
              <c:strCache>
                <c:ptCount val="1"/>
                <c:pt idx="0">
                  <c:v>CCABV</c:v>
                </c:pt>
              </c:strCache>
            </c:strRef>
          </c:tx>
          <c:spPr>
            <a:ln w="28575" cap="rnd">
              <a:solidFill>
                <a:schemeClr val="accent1"/>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Feuil1!$B$3:$E$3</c:f>
              <c:numCache>
                <c:formatCode>0.00%</c:formatCode>
                <c:ptCount val="4"/>
                <c:pt idx="0">
                  <c:v>4.6100000000000002E-2</c:v>
                </c:pt>
                <c:pt idx="1">
                  <c:v>3.8100000000000002E-2</c:v>
                </c:pt>
                <c:pt idx="2">
                  <c:v>5.6800000000000003E-2</c:v>
                </c:pt>
                <c:pt idx="3">
                  <c:v>4.6799999999999994E-2</c:v>
                </c:pt>
              </c:numCache>
            </c:numRef>
          </c:val>
          <c:smooth val="0"/>
          <c:extLst>
            <c:ext xmlns:c16="http://schemas.microsoft.com/office/drawing/2014/chart" uri="{C3380CC4-5D6E-409C-BE32-E72D297353CC}">
              <c16:uniqueId val="{00000000-3C4C-4883-81C6-D24ACFF170B0}"/>
            </c:ext>
          </c:extLst>
        </c:ser>
        <c:ser>
          <c:idx val="1"/>
          <c:order val="1"/>
          <c:tx>
            <c:strRef>
              <c:f>Feuil1!$A$4</c:f>
              <c:strCache>
                <c:ptCount val="1"/>
                <c:pt idx="0">
                  <c:v>CCPS</c:v>
                </c:pt>
              </c:strCache>
            </c:strRef>
          </c:tx>
          <c:spPr>
            <a:ln w="28575" cap="rnd">
              <a:solidFill>
                <a:schemeClr val="accent2"/>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Feuil1!$B$4:$E$4</c:f>
              <c:numCache>
                <c:formatCode>0.00%</c:formatCode>
                <c:ptCount val="4"/>
                <c:pt idx="0">
                  <c:v>2.81E-2</c:v>
                </c:pt>
                <c:pt idx="1">
                  <c:v>2.7099999999999999E-2</c:v>
                </c:pt>
                <c:pt idx="2">
                  <c:v>4.7100000000000003E-2</c:v>
                </c:pt>
                <c:pt idx="3">
                  <c:v>4.6799999999999994E-2</c:v>
                </c:pt>
              </c:numCache>
            </c:numRef>
          </c:val>
          <c:smooth val="0"/>
          <c:extLst>
            <c:ext xmlns:c16="http://schemas.microsoft.com/office/drawing/2014/chart" uri="{C3380CC4-5D6E-409C-BE32-E72D297353CC}">
              <c16:uniqueId val="{00000001-3C4C-4883-81C6-D24ACFF170B0}"/>
            </c:ext>
          </c:extLst>
        </c:ser>
        <c:ser>
          <c:idx val="2"/>
          <c:order val="2"/>
          <c:tx>
            <c:strRef>
              <c:f>Feuil1!$A$5</c:f>
              <c:strCache>
                <c:ptCount val="1"/>
                <c:pt idx="0">
                  <c:v>CCHB</c:v>
                </c:pt>
              </c:strCache>
            </c:strRef>
          </c:tx>
          <c:spPr>
            <a:ln w="28575" cap="rnd">
              <a:solidFill>
                <a:schemeClr val="accent3"/>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Feuil1!$B$5:$E$5</c:f>
              <c:numCache>
                <c:formatCode>0.00%</c:formatCode>
                <c:ptCount val="4"/>
                <c:pt idx="0">
                  <c:v>2.58E-2</c:v>
                </c:pt>
                <c:pt idx="1">
                  <c:v>2.5600000000000001E-2</c:v>
                </c:pt>
                <c:pt idx="2">
                  <c:v>4.58E-2</c:v>
                </c:pt>
                <c:pt idx="3">
                  <c:v>4.6799999999999994E-2</c:v>
                </c:pt>
              </c:numCache>
            </c:numRef>
          </c:val>
          <c:smooth val="0"/>
          <c:extLst>
            <c:ext xmlns:c16="http://schemas.microsoft.com/office/drawing/2014/chart" uri="{C3380CC4-5D6E-409C-BE32-E72D297353CC}">
              <c16:uniqueId val="{00000002-3C4C-4883-81C6-D24ACFF170B0}"/>
            </c:ext>
          </c:extLst>
        </c:ser>
        <c:ser>
          <c:idx val="3"/>
          <c:order val="3"/>
          <c:tx>
            <c:strRef>
              <c:f>Feuil1!$A$6</c:f>
              <c:strCache>
                <c:ptCount val="1"/>
                <c:pt idx="0">
                  <c:v>CCDB</c:v>
                </c:pt>
              </c:strCache>
            </c:strRef>
          </c:tx>
          <c:spPr>
            <a:ln w="28575" cap="rnd">
              <a:solidFill>
                <a:schemeClr val="accent4"/>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Feuil1!$B$6:$E$6</c:f>
              <c:numCache>
                <c:formatCode>0.00%</c:formatCode>
                <c:ptCount val="4"/>
                <c:pt idx="0">
                  <c:v>4.9500000000000002E-2</c:v>
                </c:pt>
                <c:pt idx="1">
                  <c:v>4.02E-2</c:v>
                </c:pt>
                <c:pt idx="2">
                  <c:v>5.8599999999999999E-2</c:v>
                </c:pt>
                <c:pt idx="3">
                  <c:v>4.6799999999999994E-2</c:v>
                </c:pt>
              </c:numCache>
            </c:numRef>
          </c:val>
          <c:smooth val="0"/>
          <c:extLst>
            <c:ext xmlns:c16="http://schemas.microsoft.com/office/drawing/2014/chart" uri="{C3380CC4-5D6E-409C-BE32-E72D297353CC}">
              <c16:uniqueId val="{00000003-3C4C-4883-81C6-D24ACFF170B0}"/>
            </c:ext>
          </c:extLst>
        </c:ser>
        <c:ser>
          <c:idx val="4"/>
          <c:order val="4"/>
          <c:tx>
            <c:strRef>
              <c:f>Feuil1!$A$7</c:f>
              <c:strCache>
                <c:ptCount val="1"/>
                <c:pt idx="0">
                  <c:v>CCMD</c:v>
                </c:pt>
              </c:strCache>
            </c:strRef>
          </c:tx>
          <c:spPr>
            <a:ln w="28575" cap="rnd">
              <a:solidFill>
                <a:schemeClr val="accent5"/>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Feuil1!$B$7:$E$7</c:f>
              <c:numCache>
                <c:formatCode>0.00%</c:formatCode>
                <c:ptCount val="4"/>
                <c:pt idx="0">
                  <c:v>0</c:v>
                </c:pt>
                <c:pt idx="1">
                  <c:v>9.7999999999999997E-3</c:v>
                </c:pt>
                <c:pt idx="2">
                  <c:v>3.1899999999999998E-2</c:v>
                </c:pt>
                <c:pt idx="3">
                  <c:v>4.6799999999999994E-2</c:v>
                </c:pt>
              </c:numCache>
            </c:numRef>
          </c:val>
          <c:smooth val="0"/>
          <c:extLst>
            <c:ext xmlns:c16="http://schemas.microsoft.com/office/drawing/2014/chart" uri="{C3380CC4-5D6E-409C-BE32-E72D297353CC}">
              <c16:uniqueId val="{00000004-3C4C-4883-81C6-D24ACFF170B0}"/>
            </c:ext>
          </c:extLst>
        </c:ser>
        <c:dLbls>
          <c:showLegendKey val="0"/>
          <c:showVal val="0"/>
          <c:showCatName val="0"/>
          <c:showSerName val="0"/>
          <c:showPercent val="0"/>
          <c:showBubbleSize val="0"/>
        </c:dLbls>
        <c:smooth val="0"/>
        <c:axId val="1401806832"/>
        <c:axId val="1401808912"/>
      </c:lineChart>
      <c:catAx>
        <c:axId val="140180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01808912"/>
        <c:crosses val="autoZero"/>
        <c:auto val="1"/>
        <c:lblAlgn val="ctr"/>
        <c:lblOffset val="100"/>
        <c:noMultiLvlLbl val="0"/>
      </c:catAx>
      <c:valAx>
        <c:axId val="1401808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01806832"/>
        <c:crosses val="autoZero"/>
        <c:crossBetween val="between"/>
      </c:valAx>
      <c:spPr>
        <a:noFill/>
        <a:ln>
          <a:noFill/>
        </a:ln>
        <a:effectLst/>
      </c:spPr>
    </c:plotArea>
    <c:legend>
      <c:legendPos val="b"/>
      <c:layout>
        <c:manualLayout>
          <c:xMode val="edge"/>
          <c:yMode val="edge"/>
          <c:x val="0.20816065924145566"/>
          <c:y val="0.89409667541557303"/>
          <c:w val="0.51345154001756632"/>
          <c:h val="0.105903324584426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Evolution</a:t>
            </a:r>
            <a:r>
              <a:rPr lang="fr-FR" baseline="0"/>
              <a:t> de la Taxe foncière / PAA</a:t>
            </a:r>
            <a:endParaRPr lang="fr-FR"/>
          </a:p>
        </c:rich>
      </c:tx>
      <c:layout>
        <c:manualLayout>
          <c:xMode val="edge"/>
          <c:yMode val="edge"/>
          <c:x val="0.41432703077720384"/>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Feuil1!$A$3</c:f>
              <c:strCache>
                <c:ptCount val="1"/>
                <c:pt idx="0">
                  <c:v>CCABV</c:v>
                </c:pt>
              </c:strCache>
            </c:strRef>
          </c:tx>
          <c:spPr>
            <a:ln w="28575" cap="rnd">
              <a:solidFill>
                <a:schemeClr val="accent1"/>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Feuil1!$B$3:$E$3</c:f>
              <c:numCache>
                <c:formatCode>0.00%</c:formatCode>
                <c:ptCount val="4"/>
                <c:pt idx="0">
                  <c:v>4.6100000000000002E-2</c:v>
                </c:pt>
                <c:pt idx="1">
                  <c:v>3.8100000000000002E-2</c:v>
                </c:pt>
                <c:pt idx="2">
                  <c:v>5.6800000000000003E-2</c:v>
                </c:pt>
                <c:pt idx="3">
                  <c:v>4.6799999999999994E-2</c:v>
                </c:pt>
              </c:numCache>
            </c:numRef>
          </c:val>
          <c:smooth val="0"/>
          <c:extLst>
            <c:ext xmlns:c16="http://schemas.microsoft.com/office/drawing/2014/chart" uri="{C3380CC4-5D6E-409C-BE32-E72D297353CC}">
              <c16:uniqueId val="{00000000-F71E-4006-911C-F1A847257547}"/>
            </c:ext>
          </c:extLst>
        </c:ser>
        <c:ser>
          <c:idx val="1"/>
          <c:order val="1"/>
          <c:tx>
            <c:strRef>
              <c:f>Feuil1!$A$4</c:f>
              <c:strCache>
                <c:ptCount val="1"/>
                <c:pt idx="0">
                  <c:v>CCPS</c:v>
                </c:pt>
              </c:strCache>
            </c:strRef>
          </c:tx>
          <c:spPr>
            <a:ln w="28575" cap="rnd">
              <a:solidFill>
                <a:schemeClr val="accent2"/>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Feuil1!$B$4:$E$4</c:f>
              <c:numCache>
                <c:formatCode>0.00%</c:formatCode>
                <c:ptCount val="4"/>
                <c:pt idx="0">
                  <c:v>2.81E-2</c:v>
                </c:pt>
                <c:pt idx="1">
                  <c:v>2.7099999999999999E-2</c:v>
                </c:pt>
                <c:pt idx="2">
                  <c:v>4.7100000000000003E-2</c:v>
                </c:pt>
                <c:pt idx="3">
                  <c:v>4.6799999999999994E-2</c:v>
                </c:pt>
              </c:numCache>
            </c:numRef>
          </c:val>
          <c:smooth val="0"/>
          <c:extLst>
            <c:ext xmlns:c16="http://schemas.microsoft.com/office/drawing/2014/chart" uri="{C3380CC4-5D6E-409C-BE32-E72D297353CC}">
              <c16:uniqueId val="{00000001-F71E-4006-911C-F1A847257547}"/>
            </c:ext>
          </c:extLst>
        </c:ser>
        <c:ser>
          <c:idx val="2"/>
          <c:order val="2"/>
          <c:tx>
            <c:strRef>
              <c:f>Feuil1!$A$5</c:f>
              <c:strCache>
                <c:ptCount val="1"/>
                <c:pt idx="0">
                  <c:v>CCHB</c:v>
                </c:pt>
              </c:strCache>
            </c:strRef>
          </c:tx>
          <c:spPr>
            <a:ln w="28575" cap="rnd">
              <a:solidFill>
                <a:schemeClr val="accent3"/>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Feuil1!$B$5:$E$5</c:f>
              <c:numCache>
                <c:formatCode>0.00%</c:formatCode>
                <c:ptCount val="4"/>
                <c:pt idx="0">
                  <c:v>2.58E-2</c:v>
                </c:pt>
                <c:pt idx="1">
                  <c:v>2.5600000000000001E-2</c:v>
                </c:pt>
                <c:pt idx="2">
                  <c:v>4.58E-2</c:v>
                </c:pt>
                <c:pt idx="3">
                  <c:v>4.6799999999999994E-2</c:v>
                </c:pt>
              </c:numCache>
            </c:numRef>
          </c:val>
          <c:smooth val="0"/>
          <c:extLst>
            <c:ext xmlns:c16="http://schemas.microsoft.com/office/drawing/2014/chart" uri="{C3380CC4-5D6E-409C-BE32-E72D297353CC}">
              <c16:uniqueId val="{00000002-F71E-4006-911C-F1A847257547}"/>
            </c:ext>
          </c:extLst>
        </c:ser>
        <c:ser>
          <c:idx val="3"/>
          <c:order val="3"/>
          <c:tx>
            <c:strRef>
              <c:f>Feuil1!$A$6</c:f>
              <c:strCache>
                <c:ptCount val="1"/>
                <c:pt idx="0">
                  <c:v>CCDB</c:v>
                </c:pt>
              </c:strCache>
            </c:strRef>
          </c:tx>
          <c:spPr>
            <a:ln w="28575" cap="rnd">
              <a:solidFill>
                <a:schemeClr val="accent4"/>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Feuil1!$B$6:$E$6</c:f>
              <c:numCache>
                <c:formatCode>0.00%</c:formatCode>
                <c:ptCount val="4"/>
                <c:pt idx="0">
                  <c:v>4.9500000000000002E-2</c:v>
                </c:pt>
                <c:pt idx="1">
                  <c:v>4.02E-2</c:v>
                </c:pt>
                <c:pt idx="2">
                  <c:v>5.8599999999999999E-2</c:v>
                </c:pt>
                <c:pt idx="3">
                  <c:v>4.6799999999999994E-2</c:v>
                </c:pt>
              </c:numCache>
            </c:numRef>
          </c:val>
          <c:smooth val="0"/>
          <c:extLst>
            <c:ext xmlns:c16="http://schemas.microsoft.com/office/drawing/2014/chart" uri="{C3380CC4-5D6E-409C-BE32-E72D297353CC}">
              <c16:uniqueId val="{00000003-F71E-4006-911C-F1A847257547}"/>
            </c:ext>
          </c:extLst>
        </c:ser>
        <c:ser>
          <c:idx val="4"/>
          <c:order val="4"/>
          <c:tx>
            <c:strRef>
              <c:f>Feuil1!$A$7</c:f>
              <c:strCache>
                <c:ptCount val="1"/>
                <c:pt idx="0">
                  <c:v>CCMD</c:v>
                </c:pt>
              </c:strCache>
            </c:strRef>
          </c:tx>
          <c:spPr>
            <a:ln w="28575" cap="rnd">
              <a:solidFill>
                <a:schemeClr val="accent5"/>
              </a:solidFill>
              <a:round/>
            </a:ln>
            <a:effectLst/>
          </c:spPr>
          <c:marker>
            <c:symbol val="none"/>
          </c:marker>
          <c:cat>
            <c:numRef>
              <c:f>Feuil1!$B$2:$E$2</c:f>
              <c:numCache>
                <c:formatCode>General</c:formatCode>
                <c:ptCount val="4"/>
                <c:pt idx="0">
                  <c:v>2017</c:v>
                </c:pt>
                <c:pt idx="1">
                  <c:v>2021</c:v>
                </c:pt>
                <c:pt idx="2">
                  <c:v>2022</c:v>
                </c:pt>
                <c:pt idx="3">
                  <c:v>2029</c:v>
                </c:pt>
              </c:numCache>
            </c:numRef>
          </c:cat>
          <c:val>
            <c:numRef>
              <c:f>Feuil1!$B$7:$E$7</c:f>
              <c:numCache>
                <c:formatCode>0.00%</c:formatCode>
                <c:ptCount val="4"/>
                <c:pt idx="0">
                  <c:v>0</c:v>
                </c:pt>
                <c:pt idx="1">
                  <c:v>9.7999999999999997E-3</c:v>
                </c:pt>
                <c:pt idx="2">
                  <c:v>3.1899999999999998E-2</c:v>
                </c:pt>
                <c:pt idx="3">
                  <c:v>4.6799999999999994E-2</c:v>
                </c:pt>
              </c:numCache>
            </c:numRef>
          </c:val>
          <c:smooth val="0"/>
          <c:extLst>
            <c:ext xmlns:c16="http://schemas.microsoft.com/office/drawing/2014/chart" uri="{C3380CC4-5D6E-409C-BE32-E72D297353CC}">
              <c16:uniqueId val="{00000004-F71E-4006-911C-F1A847257547}"/>
            </c:ext>
          </c:extLst>
        </c:ser>
        <c:dLbls>
          <c:showLegendKey val="0"/>
          <c:showVal val="0"/>
          <c:showCatName val="0"/>
          <c:showSerName val="0"/>
          <c:showPercent val="0"/>
          <c:showBubbleSize val="0"/>
        </c:dLbls>
        <c:smooth val="0"/>
        <c:axId val="1401806832"/>
        <c:axId val="1401808912"/>
      </c:lineChart>
      <c:catAx>
        <c:axId val="140180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01808912"/>
        <c:crosses val="autoZero"/>
        <c:auto val="1"/>
        <c:lblAlgn val="ctr"/>
        <c:lblOffset val="100"/>
        <c:noMultiLvlLbl val="0"/>
      </c:catAx>
      <c:valAx>
        <c:axId val="1401808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01806832"/>
        <c:crosses val="autoZero"/>
        <c:crossBetween val="between"/>
      </c:valAx>
      <c:spPr>
        <a:noFill/>
        <a:ln>
          <a:noFill/>
        </a:ln>
        <a:effectLst/>
      </c:spPr>
    </c:plotArea>
    <c:legend>
      <c:legendPos val="b"/>
      <c:layout>
        <c:manualLayout>
          <c:xMode val="edge"/>
          <c:yMode val="edge"/>
          <c:x val="0.20816065924145566"/>
          <c:y val="0.89409667541557303"/>
          <c:w val="0.51345154001756632"/>
          <c:h val="0.105903324584426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Vuillier-Devillers</dc:creator>
  <cp:keywords/>
  <dc:description/>
  <cp:lastModifiedBy>Julia Vuillier-Devillers</cp:lastModifiedBy>
  <cp:revision>6</cp:revision>
  <dcterms:created xsi:type="dcterms:W3CDTF">2022-11-09T09:00:00Z</dcterms:created>
  <dcterms:modified xsi:type="dcterms:W3CDTF">2022-12-02T10:11:00Z</dcterms:modified>
</cp:coreProperties>
</file>